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E97E6" w14:textId="4EC097ED" w:rsidR="00A17976" w:rsidRDefault="00A17976">
      <w:pPr>
        <w:pStyle w:val="Heading1"/>
      </w:pPr>
      <w:bookmarkStart w:id="0" w:name="_Hlk208937486"/>
      <w:r w:rsidRPr="00A17976">
        <w:t xml:space="preserve">IPBES (2019): Summary for policymakers of the global assessment report on biodiversity and ecosystem services of the Intergovernmental Science-Policy Platform on Biodiversity and Ecosystem Services. S. Díaz, et </w:t>
      </w:r>
      <w:proofErr w:type="gramStart"/>
      <w:r w:rsidRPr="00A17976">
        <w:t>al  (</w:t>
      </w:r>
      <w:proofErr w:type="gramEnd"/>
      <w:r w:rsidRPr="00A17976">
        <w:t>eds.). IPBES secretariat, Bonn, Germany. 56 pages. READ pages 10 to 20 and SKIM/REVIEW pages 20 to 47.  doi.org/10.5281/zenodo.3553579</w:t>
      </w:r>
    </w:p>
    <w:bookmarkEnd w:id="0"/>
    <w:p w14:paraId="3667E082" w14:textId="1776188A" w:rsidR="00284BAE" w:rsidRDefault="00000000">
      <w:pPr>
        <w:pStyle w:val="Heading1"/>
      </w:pPr>
      <w:r w:rsidRPr="00A17976">
        <w:rPr>
          <w:highlight w:val="yellow"/>
        </w:rPr>
        <w:t>Key Points Summary: IPBES (2019) Summary for Policymakers, Pages 10–20</w:t>
      </w:r>
    </w:p>
    <w:p w14:paraId="4A1CBDE8" w14:textId="77777777" w:rsidR="00284BAE" w:rsidRDefault="00000000">
      <w:r>
        <w:t>This document summarizes the key findings from pages 10–20 of the IPBES (2019) Summary for Policymakers of the Global Assessment Report on Biodiversity and Ecosystem Services (Díaz et al., 2019). The page-specific citations refer to the IPBES report, DOI:10.5281/zenodo.3553579.</w:t>
      </w:r>
    </w:p>
    <w:p w14:paraId="4BAE4F96" w14:textId="77777777" w:rsidR="00284BAE" w:rsidRDefault="00000000">
      <w:pPr>
        <w:pStyle w:val="Heading2"/>
      </w:pPr>
      <w:r>
        <w:t>Decline in Nature’s Contributions</w:t>
      </w:r>
    </w:p>
    <w:p w14:paraId="79301351" w14:textId="77777777" w:rsidR="00284BAE" w:rsidRDefault="00000000">
      <w:r>
        <w:t>Across more than 2,000 studies, 14 of 18 categories of nature’s contributions to people have declined since about 1970, including pollination, climate regulation, and water quality. (IPBES, 2019, p. 10–11).</w:t>
      </w:r>
    </w:p>
    <w:p w14:paraId="446204DC" w14:textId="77777777" w:rsidR="00284BAE" w:rsidRDefault="00000000">
      <w:pPr>
        <w:pStyle w:val="Heading2"/>
      </w:pPr>
      <w:r>
        <w:t>Unequal Access and Impacts</w:t>
      </w:r>
    </w:p>
    <w:p w14:paraId="7F613E44" w14:textId="77777777" w:rsidR="00284BAE" w:rsidRDefault="00000000">
      <w:r>
        <w:t>Different social groups experience unequal access to nature’s benefits and are affected differently by their decline (IPBES, 2019, p. 11).</w:t>
      </w:r>
    </w:p>
    <w:p w14:paraId="509EA872" w14:textId="77777777" w:rsidR="00284BAE" w:rsidRDefault="00000000">
      <w:pPr>
        <w:pStyle w:val="Heading2"/>
      </w:pPr>
      <w:r>
        <w:t>Irreplaceable Contributions</w:t>
      </w:r>
    </w:p>
    <w:p w14:paraId="71B0ED0F" w14:textId="77777777" w:rsidR="00284BAE" w:rsidRDefault="00000000">
      <w:r>
        <w:t>Some ecosystem services cannot be fully replaced by human-made substitutes, such as water purification and coastal protection (IPBES, 2019, p. 12).</w:t>
      </w:r>
    </w:p>
    <w:p w14:paraId="2B835BE0" w14:textId="77777777" w:rsidR="00284BAE" w:rsidRDefault="00000000">
      <w:pPr>
        <w:pStyle w:val="Heading2"/>
      </w:pPr>
      <w:r>
        <w:t>Ecosystem Decline</w:t>
      </w:r>
    </w:p>
    <w:p w14:paraId="69686AED" w14:textId="77777777" w:rsidR="00284BAE" w:rsidRDefault="00000000">
      <w:r>
        <w:t>Human activities dominate the biosphere. About 23% of terrestrial land shows degraded productivity; wetlands have shrunk to ~13% of their 1700 extent; live coral cover has nearly halved in 150 years (IPBES, 2019, p. 12–14).</w:t>
      </w:r>
    </w:p>
    <w:p w14:paraId="65DAFC08" w14:textId="77777777" w:rsidR="00284BAE" w:rsidRDefault="00000000">
      <w:pPr>
        <w:pStyle w:val="Heading2"/>
      </w:pPr>
      <w:r>
        <w:t>Species Extinction Risk</w:t>
      </w:r>
    </w:p>
    <w:p w14:paraId="1D03BB5D" w14:textId="77777777" w:rsidR="00284BAE" w:rsidRDefault="00000000">
      <w:r>
        <w:t>Species extinction rates are tens to hundreds of times higher than background rates. Over 1 million species face extinction risk, including over 40% of amphibians and a third of reef-building corals (IPBES, 2019, p. 14–15).</w:t>
      </w:r>
    </w:p>
    <w:p w14:paraId="3337AD50" w14:textId="77777777" w:rsidR="00284BAE" w:rsidRDefault="00000000">
      <w:pPr>
        <w:pStyle w:val="Heading2"/>
      </w:pPr>
      <w:r>
        <w:lastRenderedPageBreak/>
        <w:t>Drivers of Change</w:t>
      </w:r>
    </w:p>
    <w:p w14:paraId="7A009752" w14:textId="77777777" w:rsidR="00284BAE" w:rsidRDefault="00000000">
      <w:r>
        <w:t>Main direct drivers (global impact order): land- and sea-use change, direct exploitation of organisms, climate change, pollution, and invasive species. Indirect drivers include demographic, economic, technological, and cultural factors (IPBES, 2019, p. 15–18).</w:t>
      </w:r>
    </w:p>
    <w:p w14:paraId="03BA2D03" w14:textId="77777777" w:rsidR="00284BAE" w:rsidRDefault="00000000">
      <w:pPr>
        <w:pStyle w:val="Heading2"/>
      </w:pPr>
      <w:r>
        <w:t>Role of Indigenous and Local Communities</w:t>
      </w:r>
    </w:p>
    <w:p w14:paraId="185D8843" w14:textId="77777777" w:rsidR="00284BAE" w:rsidRDefault="00000000">
      <w:r>
        <w:t>Indigenous-managed lands harbor high biodiversity and show slower decline, but face threats from reduced access and external pressures (IPBES, 2019, p. 18–20).</w:t>
      </w:r>
    </w:p>
    <w:p w14:paraId="57412058" w14:textId="6DDA210E" w:rsidR="00284BAE" w:rsidRDefault="00000000">
      <w:r>
        <w:t>Reference:</w:t>
      </w:r>
      <w:r>
        <w:br/>
        <w:t xml:space="preserve">Intergovernmental Science-Policy Platform on Biodiversity and Ecosystem Services (IPBES). (2019). Summary for policymakers of the global assessment report on biodiversity and ecosystem services (S. Díaz et al., Eds.). Bonn, Germany: IPBES secretariat. </w:t>
      </w:r>
      <w:hyperlink r:id="rId6" w:history="1">
        <w:r w:rsidR="00A17976" w:rsidRPr="00226F69">
          <w:rPr>
            <w:rStyle w:val="Hyperlink"/>
          </w:rPr>
          <w:t>https://doi.org/10.5281/zenodo.3553579</w:t>
        </w:r>
      </w:hyperlink>
    </w:p>
    <w:p w14:paraId="26D5AB92" w14:textId="77777777" w:rsidR="00A17976" w:rsidRDefault="00A17976"/>
    <w:p w14:paraId="42C671E8" w14:textId="77777777" w:rsidR="00A17976" w:rsidRDefault="00A17976" w:rsidP="00A17976">
      <w:r w:rsidRPr="00A17976">
        <w:rPr>
          <w:highlight w:val="yellow"/>
        </w:rPr>
        <w:t>Key Points Summary: IPBES (2019) Summary for Policymakers, Pages 20–47</w:t>
      </w:r>
    </w:p>
    <w:p w14:paraId="520C9F48" w14:textId="77777777" w:rsidR="00A17976" w:rsidRDefault="00A17976" w:rsidP="00A17976">
      <w:r>
        <w:t>This document summarizes the key findings from pages 20–47 of the IPBES (2019) Summary for Policymakers of the Global Assessment Report on Biodiversity and Ecosystem Services (Díaz et al., 2019). Page numbers refer to the IPBES report, DOI:10.5281/zenodo.3553579.</w:t>
      </w:r>
    </w:p>
    <w:p w14:paraId="49476A5E" w14:textId="77777777" w:rsidR="00A17976" w:rsidRDefault="00A17976" w:rsidP="00A17976">
      <w:r>
        <w:t>Failure of Current Trajectories to Meet Goals</w:t>
      </w:r>
    </w:p>
    <w:p w14:paraId="53C8707D" w14:textId="77777777" w:rsidR="00A17976" w:rsidRDefault="00A17976" w:rsidP="00A17976">
      <w:r>
        <w:t>Current trends will not achieve the Aichi Biodiversity Targets or most Sustainable Development Goals by 2030. Incremental changes are insufficient (IPBES, 2019, p. 20–22).</w:t>
      </w:r>
    </w:p>
    <w:p w14:paraId="4B904B2B" w14:textId="77777777" w:rsidR="00A17976" w:rsidRDefault="00A17976" w:rsidP="00A17976">
      <w:r>
        <w:t>Social Inequalities &amp; Disproportionate Impacts</w:t>
      </w:r>
    </w:p>
    <w:p w14:paraId="79A08FB4" w14:textId="77777777" w:rsidR="00A17976" w:rsidRDefault="00A17976" w:rsidP="00A17976">
      <w:r>
        <w:t>Biodiversity decline impacts are uneven, with vulnerable and Indigenous communities experiencing disproportionate effects (IPBES, 2019, p. 22–24).</w:t>
      </w:r>
    </w:p>
    <w:p w14:paraId="1FB5D97D" w14:textId="77777777" w:rsidR="00A17976" w:rsidRDefault="00A17976" w:rsidP="00A17976">
      <w:r>
        <w:t>Need for Transformative Change</w:t>
      </w:r>
    </w:p>
    <w:p w14:paraId="1E6555DF" w14:textId="77777777" w:rsidR="00A17976" w:rsidRDefault="00A17976" w:rsidP="00A17976">
      <w:r>
        <w:t>System-wide reorganization across technological, economic, and social factors is required. Incremental reform cannot address the scale of biodiversity loss (IPBES, 2019, p. 24–27).</w:t>
      </w:r>
    </w:p>
    <w:p w14:paraId="309C0E1A" w14:textId="77777777" w:rsidR="00A17976" w:rsidRDefault="00A17976" w:rsidP="00A17976">
      <w:r>
        <w:t>Pathways &amp; Policy Levers</w:t>
      </w:r>
    </w:p>
    <w:p w14:paraId="6DD5B6DC" w14:textId="77777777" w:rsidR="00A17976" w:rsidRDefault="00A17976" w:rsidP="00A17976">
      <w:r>
        <w:t>Options include expanding protected areas, restoring ecosystems, reforming subsidies, and integrating biodiversity considerations across sectors (IPBES, 2019, p. 27–31).</w:t>
      </w:r>
    </w:p>
    <w:p w14:paraId="3AD517B3" w14:textId="77777777" w:rsidR="00A17976" w:rsidRDefault="00A17976" w:rsidP="00A17976">
      <w:r>
        <w:t>Role of Indigenous and Local Knowledge</w:t>
      </w:r>
    </w:p>
    <w:p w14:paraId="1BFAF895" w14:textId="77777777" w:rsidR="00A17976" w:rsidRDefault="00A17976" w:rsidP="00A17976">
      <w:r>
        <w:t>Recognition of Indigenous land rights, traditional knowledge, and participatory governance improves conservation outcomes (IPBES, 2019, p. 31–34).</w:t>
      </w:r>
    </w:p>
    <w:p w14:paraId="061F3BB5" w14:textId="77777777" w:rsidR="00A17976" w:rsidRDefault="00A17976" w:rsidP="00A17976">
      <w:r>
        <w:lastRenderedPageBreak/>
        <w:t>Examples of Success</w:t>
      </w:r>
    </w:p>
    <w:p w14:paraId="77423E7B" w14:textId="77777777" w:rsidR="00A17976" w:rsidRDefault="00A17976" w:rsidP="00A17976">
      <w:r>
        <w:t>Case studies highlight effective community-based management, sustainable agriculture, and local governance as pathways to halt biodiversity loss (IPBES, 2019, p. 34–37).</w:t>
      </w:r>
    </w:p>
    <w:p w14:paraId="4363E992" w14:textId="77777777" w:rsidR="00A17976" w:rsidRDefault="00A17976" w:rsidP="00A17976">
      <w:r>
        <w:t>Barriers and Trade-offs</w:t>
      </w:r>
    </w:p>
    <w:p w14:paraId="6B046DAA" w14:textId="77777777" w:rsidR="00A17976" w:rsidRDefault="00A17976" w:rsidP="00A17976">
      <w:r>
        <w:t>Major obstacles include vested interests, weak institutions, and short-term economic priorities. Trade-offs exist between land uses such as agriculture and conservation (IPBES, 2019, p. 37–41).</w:t>
      </w:r>
    </w:p>
    <w:p w14:paraId="23EFF49E" w14:textId="77777777" w:rsidR="00A17976" w:rsidRDefault="00A17976" w:rsidP="00A17976">
      <w:r>
        <w:t>Urgency and Irreversibility</w:t>
      </w:r>
    </w:p>
    <w:p w14:paraId="47880D91" w14:textId="77777777" w:rsidR="00A17976" w:rsidRDefault="00A17976" w:rsidP="00A17976">
      <w:r>
        <w:t>Delays in action will increase costs and risks of irreversible losses, including species extinctions and genetic diversity erosion (IPBES, 2019, p. 41–43).</w:t>
      </w:r>
    </w:p>
    <w:p w14:paraId="497D480B" w14:textId="77777777" w:rsidR="00A17976" w:rsidRDefault="00A17976" w:rsidP="00A17976">
      <w:r>
        <w:t>Multiple Knowledge Systems &amp; Values</w:t>
      </w:r>
    </w:p>
    <w:p w14:paraId="6641BC10" w14:textId="77777777" w:rsidR="00A17976" w:rsidRDefault="00A17976" w:rsidP="00A17976">
      <w:r>
        <w:t>Successful strategies incorporate scientific, Indigenous, and local knowledge, and embrace intrinsic and cultural values of nature (IPBES, 2019, p. 43–47).</w:t>
      </w:r>
    </w:p>
    <w:p w14:paraId="02D8AB80" w14:textId="77777777" w:rsidR="00A17976" w:rsidRDefault="00A17976" w:rsidP="00A17976">
      <w:r>
        <w:t>Reference:</w:t>
      </w:r>
    </w:p>
    <w:p w14:paraId="079113A2" w14:textId="4D380060" w:rsidR="00A17976" w:rsidRDefault="00A17976" w:rsidP="00A17976">
      <w:r>
        <w:t>Intergovernmental Science-Policy Platform on Biodiversity and Ecosystem Services (IPBES). (2019). Summary for policymakers of the global assessment report on biodiversity and ecosystem services (S. Díaz et al., Eds.). Bonn, Germany: IPBES secretariat. https://doi.org/10.5281/zenodo.3553579</w:t>
      </w:r>
    </w:p>
    <w:sectPr w:rsidR="00A1797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7275778">
    <w:abstractNumId w:val="8"/>
  </w:num>
  <w:num w:numId="2" w16cid:durableId="1448234743">
    <w:abstractNumId w:val="6"/>
  </w:num>
  <w:num w:numId="3" w16cid:durableId="1084257368">
    <w:abstractNumId w:val="5"/>
  </w:num>
  <w:num w:numId="4" w16cid:durableId="1522281853">
    <w:abstractNumId w:val="4"/>
  </w:num>
  <w:num w:numId="5" w16cid:durableId="987591186">
    <w:abstractNumId w:val="7"/>
  </w:num>
  <w:num w:numId="6" w16cid:durableId="31809742">
    <w:abstractNumId w:val="3"/>
  </w:num>
  <w:num w:numId="7" w16cid:durableId="313066886">
    <w:abstractNumId w:val="2"/>
  </w:num>
  <w:num w:numId="8" w16cid:durableId="617643096">
    <w:abstractNumId w:val="1"/>
  </w:num>
  <w:num w:numId="9" w16cid:durableId="315379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4BAE"/>
    <w:rsid w:val="0029639D"/>
    <w:rsid w:val="002B4891"/>
    <w:rsid w:val="00326F90"/>
    <w:rsid w:val="00A1797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7DDB63"/>
  <w14:defaultImageDpi w14:val="300"/>
  <w15:docId w15:val="{9448B5A4-A7F6-49EE-8756-31A4A2F3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17976"/>
    <w:rPr>
      <w:color w:val="0000FF" w:themeColor="hyperlink"/>
      <w:u w:val="single"/>
    </w:rPr>
  </w:style>
  <w:style w:type="character" w:styleId="UnresolvedMention">
    <w:name w:val="Unresolved Mention"/>
    <w:basedOn w:val="DefaultParagraphFont"/>
    <w:uiPriority w:val="99"/>
    <w:semiHidden/>
    <w:unhideWhenUsed/>
    <w:rsid w:val="00A17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5281/zenodo.35535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4332</Characters>
  <Application>Microsoft Office Word</Application>
  <DocSecurity>0</DocSecurity>
  <Lines>83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Jane</cp:lastModifiedBy>
  <cp:revision>2</cp:revision>
  <dcterms:created xsi:type="dcterms:W3CDTF">2025-09-16T21:52:00Z</dcterms:created>
  <dcterms:modified xsi:type="dcterms:W3CDTF">2025-09-16T21:52:00Z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02ff3b1d-2bf3-4831-b7b3-2074522ccc96</vt:lpwstr>
  </property>
</Properties>
</file>